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89" w:rsidRPr="00E974AB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hAnsi="GOST type A" w:cs="ArialMT"/>
          <w:b/>
          <w:sz w:val="32"/>
          <w:szCs w:val="32"/>
        </w:rPr>
      </w:pPr>
      <w:r w:rsidRPr="00E974AB">
        <w:rPr>
          <w:rFonts w:ascii="GOST type A" w:hAnsi="GOST type A" w:cs="ArialMT"/>
          <w:b/>
          <w:sz w:val="32"/>
          <w:szCs w:val="32"/>
        </w:rPr>
        <w:t>База настроечных данных (ОБЩ-БД)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ЕИ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Единицы измерений (0; 1; 2). 0 – [Гкал и кгс/см2]; 1 – [ГДж 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МПа]; 2 – [</w:t>
      </w:r>
      <w:proofErr w:type="spellStart"/>
      <w:r w:rsidRPr="00251989">
        <w:rPr>
          <w:rFonts w:ascii="GOST type A" w:eastAsia="TimesNewRomanPSMT" w:hAnsi="GOST type A" w:cs="TimesNewRomanPSMT"/>
          <w:sz w:val="32"/>
          <w:szCs w:val="32"/>
        </w:rPr>
        <w:t>MWh</w:t>
      </w:r>
      <w:proofErr w:type="spellEnd"/>
      <w:r w:rsidRPr="00251989">
        <w:rPr>
          <w:rFonts w:ascii="GOST type A" w:eastAsia="TimesNewRomanPSMT" w:hAnsi="GOST type A" w:cs="TimesNewRomanPSMT"/>
          <w:sz w:val="32"/>
          <w:szCs w:val="32"/>
        </w:rPr>
        <w:t xml:space="preserve"> и бар].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ТО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Время отсчета. Служит для установки внутренних часов тепловычислителя. Задается в формате часы–минуты–секунды. Диапазон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 xml:space="preserve">задания часов – от 00 до 23, минут – от 00 до 59, секунд – от 00 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до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59. Изменение времени отсчета, так же как и даты отсчета, приводит к изменению естественного порядка ведения архивов.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ДО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Дата отсчета. Служит для установки календаря тепловычислителя.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Задается в формате день–месяц–год; диапазон задания дня – от 01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до 31, месяца – от 01 до 12, года – от 00 до 99. Изменение этого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параметра влечет за собой изменение естественного порядка ведения архивов.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СР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Расчетные сутки. Определяют дату окончания месячных интервалов архивирования. Задаются в диапазоне от 01 до 28 суток.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ЧР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Расчетный час. Определяет время окончания суточных и месячных интервалов архивирования. Задается в диапазоне 00...23 ч.</w:t>
      </w:r>
    </w:p>
    <w:p w:rsid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hAnsi="GOST type A" w:cs="Arial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ПЛ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Перевод часов на зимнее и летнее время. При назначении ПЛ=0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перевод часов не осуществляется. Если ПЛ=1 автоматически будет осуществлен перевод часов на час назад в 3 часа ночи последнего воскресенья октября и на час вперед в 2 часа ночи последнего воскресенья марта.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 New Roman"/>
          <w:sz w:val="32"/>
          <w:szCs w:val="32"/>
        </w:rPr>
      </w:pPr>
      <w:r>
        <w:rPr>
          <w:rFonts w:ascii="GOST type A" w:hAnsi="GOST type A" w:cs="Times New Roman"/>
          <w:b/>
          <w:bCs/>
          <w:sz w:val="32"/>
          <w:szCs w:val="32"/>
        </w:rPr>
        <w:tab/>
      </w:r>
      <w:r w:rsidRPr="00251989">
        <w:rPr>
          <w:rFonts w:ascii="GOST type A" w:hAnsi="GOST type A" w:cs="Times New Roman"/>
          <w:b/>
          <w:bCs/>
          <w:sz w:val="32"/>
          <w:szCs w:val="32"/>
        </w:rPr>
        <w:t xml:space="preserve">NT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Сетевой номер (0…99). Используется в запросах со стороны компьютера или принтерного адаптера АПС45. При параллельном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 xml:space="preserve">подключении нескольких </w:t>
      </w:r>
      <w:proofErr w:type="spellStart"/>
      <w:r w:rsidRPr="00251989">
        <w:rPr>
          <w:rFonts w:ascii="GOST type A" w:eastAsia="TimesNewRomanPSMT" w:hAnsi="GOST type A" w:cs="Times New Roman"/>
          <w:sz w:val="32"/>
          <w:szCs w:val="32"/>
        </w:rPr>
        <w:t>тепловычислителей</w:t>
      </w:r>
      <w:proofErr w:type="spellEnd"/>
      <w:r w:rsidRPr="00251989">
        <w:rPr>
          <w:rFonts w:ascii="GOST type A" w:eastAsia="TimesNewRomanPSMT" w:hAnsi="GOST type A" w:cs="Times New Roman"/>
          <w:sz w:val="32"/>
          <w:szCs w:val="32"/>
        </w:rPr>
        <w:t xml:space="preserve"> их сетевые номера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должны различаться, в противном случае приборы не могут быть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однозначно опознаны. При работе одиночного прибора с любым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из перечисленных типов оборудования сетевой номер можно не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задавать.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 New Roman"/>
          <w:sz w:val="32"/>
          <w:szCs w:val="32"/>
        </w:rPr>
      </w:pPr>
      <w:r>
        <w:rPr>
          <w:rFonts w:ascii="GOST type A" w:hAnsi="GOST type A" w:cs="Times New Roman"/>
          <w:b/>
          <w:bCs/>
          <w:sz w:val="32"/>
          <w:szCs w:val="32"/>
        </w:rPr>
        <w:tab/>
      </w:r>
      <w:r w:rsidRPr="00251989">
        <w:rPr>
          <w:rFonts w:ascii="GOST type A" w:hAnsi="GOST type A" w:cs="Times New Roman"/>
          <w:b/>
          <w:bCs/>
          <w:sz w:val="32"/>
          <w:szCs w:val="32"/>
        </w:rPr>
        <w:t xml:space="preserve">ИД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Идентификатор (0…99999999) Служит для упорядочивания информации, получаемой от большого числа приборов учета в централизованных системах сбора и обработки данных. Идентификатор обычно задается равным заводскому номеру прибора.</w:t>
      </w:r>
    </w:p>
    <w:p w:rsid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 New Roman"/>
          <w:sz w:val="32"/>
          <w:szCs w:val="32"/>
        </w:rPr>
      </w:pPr>
      <w:r>
        <w:rPr>
          <w:rFonts w:ascii="GOST type A" w:hAnsi="GOST type A" w:cs="Times New Roman"/>
          <w:b/>
          <w:bCs/>
          <w:sz w:val="32"/>
          <w:szCs w:val="32"/>
        </w:rPr>
        <w:tab/>
      </w:r>
      <w:r w:rsidRPr="00251989">
        <w:rPr>
          <w:rFonts w:ascii="GOST type A" w:hAnsi="GOST type A" w:cs="Times New Roman"/>
          <w:b/>
          <w:bCs/>
          <w:sz w:val="32"/>
          <w:szCs w:val="32"/>
        </w:rPr>
        <w:t xml:space="preserve">КИ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Конфигурация интерфейса (0;1;2;10;11;12).</w:t>
      </w:r>
      <w:r>
        <w:rPr>
          <w:rFonts w:ascii="GOST type A" w:eastAsia="TimesNewRomanPSMT" w:hAnsi="GOST type A" w:cs="Times New Roman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 New Roman"/>
          <w:sz w:val="32"/>
          <w:szCs w:val="32"/>
        </w:rPr>
        <w:t>0 – подключение адаптера АПС45, компьютера или другого оборудования на скорости 2400 бит/с;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 – подключение телефонного модема или GSM- модема, работающего по технологии CSD (9600 бит/с);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2 – подключение телефонного модема или GSM- модема, работающего по технологии CSD (19200 бит/с);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10 – подключение GSM-модема для работы по технологии GPRS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с фиксированным IP адресом (2400 бит/</w:t>
      </w:r>
      <w:proofErr w:type="spellStart"/>
      <w:r w:rsidRPr="00251989">
        <w:rPr>
          <w:rFonts w:ascii="GOST type A" w:eastAsia="TimesNewRomanPSMT" w:hAnsi="GOST type A" w:cs="TimesNewRomanPSMT"/>
          <w:sz w:val="32"/>
          <w:szCs w:val="32"/>
        </w:rPr>
        <w:t>c</w:t>
      </w:r>
      <w:proofErr w:type="spellEnd"/>
      <w:r w:rsidRPr="00251989">
        <w:rPr>
          <w:rFonts w:ascii="GOST type A" w:eastAsia="TimesNewRomanPSMT" w:hAnsi="GOST type A" w:cs="TimesNewRomanPSMT"/>
          <w:sz w:val="32"/>
          <w:szCs w:val="32"/>
        </w:rPr>
        <w:t>);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11 – подключение GSM-модема для работы по технологии GPRS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с фиксированным IP адресом (9600 бит/</w:t>
      </w:r>
      <w:proofErr w:type="spellStart"/>
      <w:r w:rsidRPr="00251989">
        <w:rPr>
          <w:rFonts w:ascii="GOST type A" w:eastAsia="TimesNewRomanPSMT" w:hAnsi="GOST type A" w:cs="TimesNewRomanPSMT"/>
          <w:sz w:val="32"/>
          <w:szCs w:val="32"/>
        </w:rPr>
        <w:t>c</w:t>
      </w:r>
      <w:proofErr w:type="spellEnd"/>
      <w:r w:rsidRPr="00251989">
        <w:rPr>
          <w:rFonts w:ascii="GOST type A" w:eastAsia="TimesNewRomanPSMT" w:hAnsi="GOST type A" w:cs="TimesNewRomanPSMT"/>
          <w:sz w:val="32"/>
          <w:szCs w:val="32"/>
        </w:rPr>
        <w:t>);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12 – подключение GSM-модема для работы по технологии GPRS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с фиксированным IP адресом (19200 бит/</w:t>
      </w:r>
      <w:proofErr w:type="spellStart"/>
      <w:r w:rsidRPr="00251989">
        <w:rPr>
          <w:rFonts w:ascii="GOST type A" w:eastAsia="TimesNewRomanPSMT" w:hAnsi="GOST type A" w:cs="TimesNewRomanPSMT"/>
          <w:sz w:val="32"/>
          <w:szCs w:val="32"/>
        </w:rPr>
        <w:t>c</w:t>
      </w:r>
      <w:proofErr w:type="spellEnd"/>
      <w:r w:rsidRPr="00251989">
        <w:rPr>
          <w:rFonts w:ascii="GOST type A" w:eastAsia="TimesNewRomanPSMT" w:hAnsi="GOST type A" w:cs="TimesNewRomanPSMT"/>
          <w:sz w:val="32"/>
          <w:szCs w:val="32"/>
        </w:rPr>
        <w:t>).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Значение этого параметра не влияет на обмен данными с внешним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 xml:space="preserve">оборудованием через </w:t>
      </w:r>
      <w:proofErr w:type="spellStart"/>
      <w:r w:rsidRPr="00251989">
        <w:rPr>
          <w:rFonts w:ascii="GOST type A" w:eastAsia="TimesNewRomanPSMT" w:hAnsi="GOST type A" w:cs="TimesNewRomanPSMT"/>
          <w:sz w:val="32"/>
          <w:szCs w:val="32"/>
        </w:rPr>
        <w:t>оптопорт</w:t>
      </w:r>
      <w:proofErr w:type="spellEnd"/>
      <w:r w:rsidRPr="00251989">
        <w:rPr>
          <w:rFonts w:ascii="GOST type A" w:eastAsia="TimesNewRomanPSMT" w:hAnsi="GOST type A" w:cs="TimesNewRomanPSMT"/>
          <w:sz w:val="32"/>
          <w:szCs w:val="32"/>
        </w:rPr>
        <w:t>. При отсутствии внешнего оборудования рекомендуется задавать значение КИ=0. Такое назначение позволит увеличить ресурс батареи.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ВМН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Начало разрешенного интервала времени работы модема. Задается в формате часы-минуты (00-00…23-59).</w:t>
      </w:r>
    </w:p>
    <w:p w:rsid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ВМК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Конец разрешенного интервала времени работы модема. Задается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в формате часы-минуты (00-00…23-59).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Другой вариант использования параметров ВМН и ВМК – управление количеством звонков до автоответа. Для этого следует задать ВМН=ВМК; количество звонков до автоответа будет равно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количеству минут в значении параметра. Когда количество минут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менее трех, автоответ назначается на второй звонок. При этом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 xml:space="preserve">значение первых двух цифр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lastRenderedPageBreak/>
        <w:t>этого параметра может быть произвольным. Изменения, связанные с заданием количества звонков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до автоответа, вступают в силу не позднее 30 минут с момента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ввода значения параметров ВМН и ВМК. Если необходимо, чтобы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эти изменения вступили в силу немедленно, следует выполнить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тест стандартных функций модема (ОБЩ-ТСТ-МОДЕМ-СТД).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proofErr w:type="spellStart"/>
      <w:r w:rsidRPr="00251989">
        <w:rPr>
          <w:rFonts w:ascii="GOST type A" w:hAnsi="GOST type A" w:cs="Arial-BoldMT"/>
          <w:b/>
          <w:bCs/>
          <w:sz w:val="32"/>
          <w:szCs w:val="32"/>
        </w:rPr>
        <w:t>tхк</w:t>
      </w:r>
      <w:proofErr w:type="spellEnd"/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Константа температуры холодной воды (0…100 С). Используется в вычислениях при отключенном термометре холодной воды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или при его неисправности. Обычно назначают в соответствии с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договором на поставку тепла и теплоносителя. При расчетах по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константам tхк=0 и Pхк=0 энтальпия холодной воды принимается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равной нулю.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proofErr w:type="spellStart"/>
      <w:r w:rsidRPr="00251989">
        <w:rPr>
          <w:rFonts w:ascii="GOST type A" w:hAnsi="GOST type A" w:cs="Arial-BoldMT"/>
          <w:b/>
          <w:bCs/>
          <w:sz w:val="32"/>
          <w:szCs w:val="32"/>
        </w:rPr>
        <w:t>Pxк</w:t>
      </w:r>
      <w:proofErr w:type="spellEnd"/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Константа давления холодной воды (0…16 кг/см2). Обычно назначают в соответствии с договором на поставку тепла и теплоносителя. При расчетах по константам tхк=0 и Pхк=0 энтальпия холодной воды принимается равной нулю.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ТС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Тип подключаемых датчиков температуры. 0 – 100П по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ГОСТ 6651-94; 1 – Pt100; 2 – 100М по ГОСТ 6651-94;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3 – 100П по ГОСТ Р 8.625-2006 или ГОСТ 6651-2009; 4 – 100М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по ГОСТ Р 8.625-2006 или ГОСТ 6651-2009. Выбирают, руководствуясь маркировкой ТС в его паспорте. Допускается применение только однотипных термометров сопротивления.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КД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Контроль сигнала на дискретном входе. (0; 1; 2).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0 – контроль отключен;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 – активизация НС02 при наличии сигнала;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2 – активизация НС02 при отсутствии сигнала.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251989">
        <w:rPr>
          <w:rFonts w:ascii="GOST type A" w:hAnsi="GOST type A" w:cs="Arial-BoldMT"/>
          <w:b/>
          <w:bCs/>
          <w:sz w:val="32"/>
          <w:szCs w:val="32"/>
        </w:rPr>
        <w:t xml:space="preserve">СН </w:t>
      </w:r>
      <w:r w:rsidRPr="00251989">
        <w:rPr>
          <w:rFonts w:ascii="GOST type A" w:eastAsia="TimesNewRomanPSMT" w:hAnsi="GOST type A" w:cs="TimesNewRomanPSMT"/>
          <w:sz w:val="32"/>
          <w:szCs w:val="32"/>
        </w:rPr>
        <w:t>Управление выходным дискретным сигналом (0; 1; 2).</w:t>
      </w:r>
    </w:p>
    <w:p w:rsidR="00251989" w:rsidRP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0 – выходной дискретный сигнал не используется. Также “0” рекомендуется задавать при длительных перерывах в работе тепловычислителя – при этом экономится ресурс батареи;</w:t>
      </w:r>
    </w:p>
    <w:p w:rsidR="00251989" w:rsidRDefault="00251989" w:rsidP="00251989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251989">
        <w:rPr>
          <w:rFonts w:ascii="GOST type A" w:eastAsia="TimesNewRomanPSMT" w:hAnsi="GOST type A" w:cs="TimesNewRomanPSMT"/>
          <w:sz w:val="32"/>
          <w:szCs w:val="32"/>
        </w:rPr>
        <w:t>1 – выходной дискретный сигнал используется – состояние "замкнуто" соответствует наличию любой НС по любому из вводов;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2 – выходной дискретный сигнал используется – состояние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"замкнуто" соответствует наличию НС04 по любому из вводов.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ТС3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Подключение термопреобразователей для измерения температур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t3,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tx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и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tв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Значение задается двумя цифрами. Первая цифра описывает датчик, подключаемый к разъему Х19, вторая – к разъему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Х20. Допустимо назначать следующие цифры в каждой из позиций: 0 – датчик не используется; 1 – измерение t3; 2 – измерение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tx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; 3 – измерение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tв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Пример: при ТС3 = 13 датчик температуры t3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по первому тепловому вводу (ТВ1) подключается к Х19, а датчик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tв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подключается к Х20; при ТС3 = 21 датчик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tх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подключается к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Х19, а датчик температуры t3 по второму тепловому вводу (ТВ2)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подключается к Х20.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КУ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Контроль значения одного из текущих параметров на условие выхода за пределы диапазона, задаваемого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уставками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УН…УВ. Параметр может принимать значения: 0 – контроль отключен; 1 –включен контроль параметра по ТВ1; 2 – включен контроль параметра по ТВ2. При включенном контроле и выходе параметра за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границы диапазона УН…УВ активизируется НС04, что может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служить сигналом для замыкания дискретного выхода.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НУ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Номер параметра, значение которого контролируется на соответствие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уставкам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Может принимать значение от 0 до 10, соответствующее следующим параметрам: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0 – G1;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</w:p>
    <w:p w:rsidR="00E974AB" w:rsidRPr="00547E6E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547E6E">
        <w:rPr>
          <w:rFonts w:ascii="GOST type A" w:eastAsia="TimesNewRomanPSMT" w:hAnsi="GOST type A" w:cs="TimesNewRomanPSMT"/>
          <w:sz w:val="32"/>
          <w:szCs w:val="32"/>
        </w:rPr>
        <w:t xml:space="preserve">1 – </w:t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G</w:t>
      </w:r>
      <w:r w:rsidRPr="00547E6E">
        <w:rPr>
          <w:rFonts w:ascii="GOST type A" w:eastAsia="TimesNewRomanPSMT" w:hAnsi="GOST type A" w:cs="TimesNewRomanPSMT"/>
          <w:sz w:val="32"/>
          <w:szCs w:val="32"/>
        </w:rPr>
        <w:t>2;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2 – G3;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3 – P1;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4 – P2;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5– t1;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 xml:space="preserve">7 –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dt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lastRenderedPageBreak/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8 – t3;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 xml:space="preserve">9 –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tx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  <w:lang w:val="en-US"/>
        </w:rPr>
        <w:t>;</w:t>
      </w:r>
    </w:p>
    <w:p w:rsidR="00E974AB" w:rsidRPr="00547E6E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  <w:lang w:val="en-US"/>
        </w:rPr>
      </w:pP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ab/>
        <w:t>10 – t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в</w:t>
      </w:r>
      <w:r w:rsidRPr="00547E6E">
        <w:rPr>
          <w:rFonts w:ascii="GOST type A" w:eastAsia="TimesNewRomanPSMT" w:hAnsi="GOST type A" w:cs="TimesNewRomanPSMT"/>
          <w:sz w:val="32"/>
          <w:szCs w:val="32"/>
          <w:lang w:val="en-US"/>
        </w:rPr>
        <w:t>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Текущий параметр, значение которого контролируется по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уставкам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помечается в разделе ТЕК по соответствующему вводу символом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УВ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Верхняя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уставка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(-999999,9…999999,9). Верхняя граница диапазона, на соответствие которому контролируется один из текущих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параметров.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УН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Нижняя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уставка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(-999999,9…999999,9). Нижняя граница диапазона, на соответствие которому контролируется один из текущих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параметров.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PW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Пароль для удаленного доступа. Задается пользователем в виде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последовательности цифр и букв латинского алфавита. Максимальное количество символов в пароле – 8.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Для эффективной защиты данных следует выбирать пароли максимальной длины. Для отключения защиты данных с помощью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пароля, следует задать значение PW=0.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Защита паролем не действует при доступе через оптопорт.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Защита паролем не действует при назначении КИ=0</w:t>
      </w:r>
      <w:r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E974AB" w:rsidRPr="00E170E3" w:rsidRDefault="00E170E3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b/>
          <w:sz w:val="32"/>
          <w:szCs w:val="32"/>
        </w:rPr>
      </w:pPr>
      <w:r w:rsidRPr="00E170E3">
        <w:rPr>
          <w:rFonts w:ascii="GOST type A" w:eastAsia="TimesNewRomanPSMT" w:hAnsi="GOST type A" w:cs="TimesNewRomanPSMT"/>
          <w:b/>
          <w:sz w:val="32"/>
          <w:szCs w:val="32"/>
        </w:rPr>
        <w:t>В управлении нажимаем "Пуск".</w:t>
      </w:r>
    </w:p>
    <w:p w:rsidR="00E170E3" w:rsidRDefault="00E170E3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hAnsi="GOST type A" w:cs="ArialMT"/>
          <w:b/>
          <w:sz w:val="32"/>
          <w:szCs w:val="32"/>
        </w:rPr>
      </w:pPr>
      <w:r w:rsidRPr="00E974AB">
        <w:rPr>
          <w:rFonts w:ascii="GOST type A" w:hAnsi="GOST type A" w:cs="ArialMT"/>
          <w:b/>
          <w:sz w:val="32"/>
          <w:szCs w:val="32"/>
        </w:rPr>
        <w:t>База настроечных данных (ТВ1-БД)</w:t>
      </w:r>
      <w:r>
        <w:rPr>
          <w:rFonts w:ascii="GOST type A" w:hAnsi="GOST type A" w:cs="ArialMT"/>
          <w:b/>
          <w:sz w:val="32"/>
          <w:szCs w:val="32"/>
        </w:rPr>
        <w:t>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СП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Номер схемы потребления (0…99). Схему выбирают, руководствуясь разделом 4 настоящего руководства. Этот параметр необходимо задать до назначения остальных параметров по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вводу,</w:t>
      </w:r>
      <w:r>
        <w:rPr>
          <w:rFonts w:ascii="GOST type A" w:eastAsia="TimesNewRomanPSMT" w:hAnsi="GOST type A" w:cs="TimesNewRomanPSMT"/>
          <w:sz w:val="32"/>
          <w:szCs w:val="32"/>
        </w:rPr>
        <w:t>т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так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как номенклатура параметров БД зависит от выбранной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схе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-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>мы. Если изменение СП было произведено при пущенном счете,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то накопленные с начала текущего часа параметры V, M, Q,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Ти</w:t>
      </w:r>
      <w:proofErr w:type="spellEnd"/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будут обнулены. При необходимости сохранения накопленных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данных следует выполнить останов счета, дождаться окончания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часа, затем изменить номер схемы и вновь запустить счет.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КВ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Код (номер) теплового ввода (0…99999999). Задают для идентификации абонента в отчете о теплопотреблении.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tк1,tк2,tк3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Константа температуры по трубопроводу 1, 2 и 3 (0…175 С).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Заменяет измеренное значение температуры соответствующего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датчика при выходе этого значения за пределы 0-176 С или при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отсутствии датчика. Обычно выбирают в соответствии с договором на поставку тепла и теплоносителя, например, с графиком регулирования для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среднесезонной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температуры воздуха.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ДВ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Признак использования датчиков избыточного давления (0; 1):0 – датчики не используются (Р1=Рк1 и Р2=Рк2);1 – датчики используются (НС08 при 0&gt;Р1&gt;1,1ВП1;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>НС09 при 0&gt;Р2&gt;1,1ВП2).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ВП1,ВП2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Верхний предел диапазона измерений датчиков избыточного давления ПД1 и ПД2 (0…16 кг/см2, бар; 0…1,6МПа). Назначают, руководствуясь данными паспортов на датчики давления.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Pк1,Pк2,Pк3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Константа избыточного давления по трубопроводу 1, 2 и 3.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(0…16 кг/см2, бар; 0…1,6 МПа). Заменяет измеренное значение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давления соответствующего датчика при выходе этого значения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за пределы 0-1,1Pв или при отсутствии датчика. Обычно выбирают в соответствии с договором на поставку тепла и теплоносителя, например, максимально возможное значение для соответствующего трубопровода.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KG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Контроль расхода (0; 1; 2; 3). Параметр задает правило работы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прибора при выходе текущих значений расхода G1, G2, G3 за границы диапазонов соответственно Gн1…Gв1, Gн2…Gв2 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Gн3…Gв3: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– при KG = 0 – активация НС: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НС13 при G1&gt;Gв1 и НС14 при 0&lt;G1&lt;Gн1;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НС15 при G2&gt;Gв2 и НС16 при 0&lt;G2&lt;Gн2;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НС17 при G1&gt;Gв3 и НС18 при 0&lt;G3&lt;Gн3;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lastRenderedPageBreak/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– при KG = 1 – то же, что при KG=0 и интегрирование объемов с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использованием констант: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Gк1 при G1&gt;Gв1 или Gн1 при 0&lt;G1&lt;Gн1;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Gк2 при G2&gt;Gв2 или Gн2 при 0&lt;G2&lt;Gн2;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Gк3 при G1&gt;Gв3 или Gн3 при 0&lt;G3&lt;Gн3.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Дополнительно может контролироваться НС02, при наличии которой происходит переход на расчеты с использованием констант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расхода: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– при KG=2 то же, что и при KG=0, а также интегрирование объемов V1, V2, V3 с использованием Gк1, Gк2 и Gк3, соответственно, при наличии НС02;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– при KG=3 то же, что и при KG=1, а также интегрирование объемов V1, V2, V3 с использованием Gк1, Gк2 и Gк3, соответственно, при наличии НС02.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С1,C2,C3</w:t>
      </w:r>
      <w:r>
        <w:rPr>
          <w:rFonts w:ascii="GOST type A" w:hAnsi="GOST type A" w:cs="Arial-BoldMT"/>
          <w:b/>
          <w:bCs/>
          <w:sz w:val="32"/>
          <w:szCs w:val="32"/>
        </w:rPr>
        <w:t>т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Цена импульса датчика объема (0,000000…9,999999 м3). Цену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импульса ВС задают согласно паспорту на датчик объема.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Gв1,Gв2,Gв3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Верхний предел диапазона измерений расхода соответствующего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датчика объема (0… 99999,99 м3/ч). Если текущий расход превышает значение верхнего предела, то фиксируется нештатная ситуация, а при KG=1 в расчетах участвует не фактический расход,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>а константа расхода. Задают согласно паспорту на датчик объема.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>Gн1,Gн2,Gн3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Нижний предел диапазона измерений расхода соответствующего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датчика объема (0…99999,99 м3/ч). Заменяет измеренное значение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расхода при 0&lt;G&lt;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Gн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и KG=1. Задают согласно паспорту на датчик объема.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hAnsi="GOST type A" w:cs="Arial-BoldMT"/>
          <w:b/>
          <w:bCs/>
          <w:sz w:val="32"/>
          <w:szCs w:val="32"/>
        </w:rPr>
        <w:t>Gк1,Gк2,Gк3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Константа расхода по трубопроводу 1, 2 и 3 (0…99999,99 м3/ч).В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случае назначения КG=1, заменяет измеренное значение расхода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через соответствующий датчик объема при G&gt;Gв1.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974AB">
        <w:rPr>
          <w:rFonts w:ascii="GOST type A" w:hAnsi="GOST type A" w:cs="Arial-BoldMT"/>
          <w:b/>
          <w:bCs/>
          <w:sz w:val="32"/>
          <w:szCs w:val="32"/>
        </w:rPr>
        <w:t xml:space="preserve">АМ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Алгоритм использования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Мк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>. Определяет условия использования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константы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Мк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взамен разности часовых масс (М1ч–М2ч), для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схем 0, 2, 4 и 8 при вычислении часового значения тепловой энергии. Параметр может принимать следующие значения: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0 – 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Мк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не используется;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1 – (М1ч–М2ч)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=Мк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при (–НМ)</w:t>
      </w:r>
      <w:r w:rsidRPr="00E974AB">
        <w:rPr>
          <w:rFonts w:ascii="GOST type A" w:eastAsia="Arial Unicode MS" w:hAnsi="GOST type A" w:cs="Arial Unicode MS"/>
          <w:sz w:val="32"/>
          <w:szCs w:val="32"/>
        </w:rPr>
        <w:t>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М1ч</w:t>
      </w:r>
      <w:r w:rsidRPr="00E974AB">
        <w:rPr>
          <w:rFonts w:ascii="GOST type A" w:eastAsia="Arial Unicode MS" w:hAnsi="GOST type A" w:cs="Arial Unicode MS"/>
          <w:sz w:val="32"/>
          <w:szCs w:val="32"/>
        </w:rPr>
        <w:t>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(М1ч–М2ч)&lt;0;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974AB">
        <w:rPr>
          <w:rFonts w:ascii="GOST type A" w:eastAsia="TimesNewRomanPSMT" w:hAnsi="GOST type A" w:cs="TimesNewRomanPSMT"/>
          <w:sz w:val="32"/>
          <w:szCs w:val="32"/>
        </w:rPr>
        <w:t>2 – (М1ч–М2ч)</w:t>
      </w:r>
      <w:proofErr w:type="spellStart"/>
      <w:r w:rsidRPr="00E974AB">
        <w:rPr>
          <w:rFonts w:ascii="GOST type A" w:eastAsia="TimesNewRomanPSMT" w:hAnsi="GOST type A" w:cs="TimesNewRomanPSMT"/>
          <w:sz w:val="32"/>
          <w:szCs w:val="32"/>
        </w:rPr>
        <w:t>=Мк</w:t>
      </w:r>
      <w:proofErr w:type="spellEnd"/>
      <w:r w:rsidRPr="00E974AB">
        <w:rPr>
          <w:rFonts w:ascii="GOST type A" w:eastAsia="TimesNewRomanPSMT" w:hAnsi="GOST type A" w:cs="TimesNewRomanPSMT"/>
          <w:sz w:val="32"/>
          <w:szCs w:val="32"/>
        </w:rPr>
        <w:t xml:space="preserve"> при (М1ч–М2ч)&lt; 0;</w:t>
      </w:r>
    </w:p>
    <w:p w:rsidR="00E974AB" w:rsidRP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>Если в договоре с энергоснабжающей организацией не оговаривается иное, то параметр АМ задают равным нулю.</w:t>
      </w:r>
    </w:p>
    <w:p w:rsidR="00E974AB" w:rsidRPr="00E974AB" w:rsidRDefault="00E170E3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proofErr w:type="spellStart"/>
      <w:r w:rsidR="00E974AB" w:rsidRPr="00E974AB">
        <w:rPr>
          <w:rFonts w:ascii="GOST type A" w:hAnsi="GOST type A" w:cs="Arial-BoldMT"/>
          <w:b/>
          <w:bCs/>
          <w:sz w:val="32"/>
          <w:szCs w:val="32"/>
        </w:rPr>
        <w:t>Mк</w:t>
      </w:r>
      <w:proofErr w:type="spellEnd"/>
      <w:r w:rsidR="00E974AB" w:rsidRPr="00E974AB"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Константа часовой массы (0…99999,99 т/ч). При вычислениях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тепловой энергии (на интервале в один час) для схем 0, 2, 4 и 8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заменяет вычисленное значение (М1ч–М2ч), в соответствии с алгоритмом, задаваемым параметром АМ.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Если в договоре с энергоснабж</w:t>
      </w:r>
      <w:r>
        <w:rPr>
          <w:rFonts w:ascii="GOST type A" w:eastAsia="TimesNewRomanPSMT" w:hAnsi="GOST type A" w:cs="TimesNewRomanPSMT"/>
          <w:sz w:val="32"/>
          <w:szCs w:val="32"/>
        </w:rPr>
        <w:t>ающей организацией не оговарива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 xml:space="preserve">ется иное, то параметр </w:t>
      </w:r>
      <w:proofErr w:type="spellStart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Мк</w:t>
      </w:r>
      <w:proofErr w:type="spellEnd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 xml:space="preserve"> задают равным нулю.</w:t>
      </w:r>
    </w:p>
    <w:p w:rsidR="00E974AB" w:rsidRPr="00E974AB" w:rsidRDefault="00E170E3" w:rsidP="00E974AB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="00E974AB" w:rsidRPr="00E974AB">
        <w:rPr>
          <w:rFonts w:ascii="GOST type A" w:hAnsi="GOST type A" w:cs="Arial-BoldMT"/>
          <w:b/>
          <w:bCs/>
          <w:sz w:val="32"/>
          <w:szCs w:val="32"/>
        </w:rPr>
        <w:t xml:space="preserve">НМ </w:t>
      </w:r>
      <w:proofErr w:type="spellStart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Уставка</w:t>
      </w:r>
      <w:proofErr w:type="spellEnd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 xml:space="preserve"> на небаланс масс (0,0000…0,0400).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Определяет предельное значение максимального небаланса масс,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при выходе за которое, т. е. при (М1ч–М2ч)&lt;(–НМ)</w:t>
      </w:r>
      <w:r w:rsidR="00E974AB" w:rsidRPr="00E974AB">
        <w:rPr>
          <w:rFonts w:ascii="GOST type A" w:eastAsia="Arial Unicode MS" w:hAnsi="GOST type A" w:cs="Arial Unicode MS"/>
          <w:sz w:val="32"/>
          <w:szCs w:val="32"/>
        </w:rPr>
        <w:t></w:t>
      </w:r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 xml:space="preserve">М1ч, </w:t>
      </w:r>
      <w:proofErr w:type="spellStart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проис</w:t>
      </w:r>
      <w:proofErr w:type="spellEnd"/>
      <w:r w:rsidR="00E974AB" w:rsidRPr="00E974AB">
        <w:rPr>
          <w:rFonts w:ascii="GOST type A" w:eastAsia="TimesNewRomanPSMT" w:hAnsi="GOST type A" w:cs="TimesNewRomanPSMT"/>
          <w:sz w:val="32"/>
          <w:szCs w:val="32"/>
        </w:rPr>
        <w:t>-</w:t>
      </w:r>
    </w:p>
    <w:p w:rsidR="00E974AB" w:rsidRDefault="00E974AB" w:rsidP="00E974AB">
      <w:pPr>
        <w:autoSpaceDE w:val="0"/>
        <w:autoSpaceDN w:val="0"/>
        <w:adjustRightInd w:val="0"/>
        <w:spacing w:after="0" w:line="240" w:lineRule="auto"/>
        <w:rPr>
          <w:rFonts w:ascii="GOST type A" w:hAnsi="GOST type A" w:cs="Arial-BoldMT"/>
          <w:sz w:val="32"/>
          <w:szCs w:val="32"/>
        </w:rPr>
      </w:pPr>
      <w:r w:rsidRPr="00E974AB">
        <w:rPr>
          <w:rFonts w:ascii="GOST type A" w:eastAsia="TimesNewRomanPSMT" w:hAnsi="GOST type A" w:cs="TimesNewRomanPSMT"/>
          <w:sz w:val="32"/>
          <w:szCs w:val="32"/>
        </w:rPr>
        <w:t>ходит активизация НС19 (подробнее см. в гл. 7).</w:t>
      </w:r>
      <w:r w:rsidR="00E170E3"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Определяется с учетом класса точности используемых в составе</w:t>
      </w:r>
      <w:r w:rsidR="00E170E3"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теплосчетчика расходомеров.</w:t>
      </w:r>
      <w:r w:rsidR="00E170E3"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Например, для расходомеров с относительной погрешностью 2%</w:t>
      </w:r>
      <w:r w:rsidR="00E170E3"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возможно задать значение НМ равное (2+2)/100=0,04.</w:t>
      </w:r>
      <w:r w:rsidR="00E170E3"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974AB">
        <w:rPr>
          <w:rFonts w:ascii="GOST type A" w:eastAsia="TimesNewRomanPSMT" w:hAnsi="GOST type A" w:cs="TimesNewRomanPSMT"/>
          <w:sz w:val="32"/>
          <w:szCs w:val="32"/>
        </w:rPr>
        <w:t>Параметр задается только для схем 0, 2, 4 и 8 при АМ≠0.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E170E3">
        <w:rPr>
          <w:rFonts w:ascii="GOST type A" w:hAnsi="GOST type A" w:cs="Arial-BoldMT"/>
          <w:b/>
          <w:bCs/>
          <w:sz w:val="32"/>
          <w:szCs w:val="32"/>
        </w:rPr>
        <w:t xml:space="preserve">AQ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Алгоритм вычислений с использованием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(0; 1; 2; 3; 10; 11; 12;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13). Параметр1 определяет условия использования константы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вместо вычисленного значения тепловой энергии на часовом интервале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Qч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0 –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не используется; в архив и в тотальный счетчик тепла всегда добавляется фактически измеренное и вычисленное значение;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1 –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используется при отрицательном значении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Qч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>, при этом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активизируется НС20;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lastRenderedPageBreak/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>2 – то же, что и при AQ=1 и/или при выходе разности часовых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масс M1ч–M2ч (для схем 0, 2, 4 и 8) за пределы допустимого диапазона, определяемого параметром НМ;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>3 – то же, что и при AQ=2 и/или при выходе за допустимые пределы значений параметров от любого из первичных преобразователей (т.е. при активизации любой нештатной ситуации от НС08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до НС12 или НС03). При этом не важно, сколько времени пара-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 w:rsidRPr="00E170E3">
        <w:rPr>
          <w:rFonts w:ascii="GOST type A" w:eastAsia="TimesNewRomanPSMT" w:hAnsi="GOST type A" w:cs="TimesNewRomanPSMT"/>
          <w:sz w:val="32"/>
          <w:szCs w:val="32"/>
        </w:rPr>
        <w:t>метр был вне диапазона;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10 –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используется на время, пока активна НС04;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11 –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Qк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используется на время, пока активна НС04 и при отрицательном значении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Qч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>;</w:t>
      </w:r>
    </w:p>
    <w:p w:rsid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12 – то же, что и при AQ=11, и/или при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при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выходе разности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часоых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 масс M1ч–M2ч (для схем 0, 2, 4 и 8) за пределы допустимого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диапазона, определяемого параметром НМ;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E170E3">
        <w:rPr>
          <w:rFonts w:ascii="GOST type A" w:eastAsia="TimesNewRomanPSMT" w:hAnsi="GOST type A" w:cs="TimesNewRomanPSMT"/>
          <w:sz w:val="32"/>
          <w:szCs w:val="32"/>
        </w:rPr>
        <w:t>13 – то же, что и при AQ=12, и/или при выходе за допустимые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пределы значений параметров от любого из первичных преобразо</w:t>
      </w:r>
      <w:r>
        <w:rPr>
          <w:rFonts w:ascii="GOST type A" w:eastAsia="TimesNewRomanPSMT" w:hAnsi="GOST type A" w:cs="TimesNewRomanPSMT"/>
          <w:sz w:val="32"/>
          <w:szCs w:val="32"/>
        </w:rPr>
        <w:t>в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ателей (т.е. при активизации любой нештатной ситуации от НС08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до НС12 или НС03).</w:t>
      </w:r>
    </w:p>
    <w:p w:rsidR="00E170E3" w:rsidRDefault="00E170E3" w:rsidP="00E170E3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proofErr w:type="spellStart"/>
      <w:r w:rsidRPr="00E170E3">
        <w:rPr>
          <w:rFonts w:ascii="GOST type A" w:hAnsi="GOST type A" w:cs="Arial-BoldMT"/>
          <w:b/>
          <w:bCs/>
          <w:sz w:val="32"/>
          <w:szCs w:val="32"/>
        </w:rPr>
        <w:t>Qк</w:t>
      </w:r>
      <w:proofErr w:type="spellEnd"/>
      <w:r w:rsidRPr="00E170E3"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 xml:space="preserve">Константа часового тепла (0…9999,99) [Гкал, ГДж, </w:t>
      </w:r>
      <w:proofErr w:type="spellStart"/>
      <w:r w:rsidRPr="00E170E3">
        <w:rPr>
          <w:rFonts w:ascii="GOST type A" w:eastAsia="TimesNewRomanPSMT" w:hAnsi="GOST type A" w:cs="TimesNewRomanPSMT"/>
          <w:sz w:val="32"/>
          <w:szCs w:val="32"/>
        </w:rPr>
        <w:t>MWh</w:t>
      </w:r>
      <w:proofErr w:type="spellEnd"/>
      <w:r w:rsidRPr="00E170E3">
        <w:rPr>
          <w:rFonts w:ascii="GOST type A" w:eastAsia="TimesNewRomanPSMT" w:hAnsi="GOST type A" w:cs="TimesNewRomanPSMT"/>
          <w:sz w:val="32"/>
          <w:szCs w:val="32"/>
        </w:rPr>
        <w:t>].</w:t>
      </w:r>
    </w:p>
    <w:p w:rsidR="00E170E3" w:rsidRPr="00E170E3" w:rsidRDefault="00E170E3" w:rsidP="00E170E3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  <w:r w:rsidRPr="00E170E3">
        <w:rPr>
          <w:rFonts w:ascii="GOST type A" w:hAnsi="GOST type A" w:cs="Arial-BoldMT"/>
          <w:b/>
          <w:bCs/>
          <w:sz w:val="32"/>
          <w:szCs w:val="32"/>
        </w:rPr>
        <w:t xml:space="preserve">ПС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Печать суточных отчетов (1; 0). Включение/выключение автоматической печати суточных отчетов по тепловому вводу. При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ПС=1 ежедневно, в расчетный час, архивные данные за прошедшие сутки ставятся в очередь печати. Задания в очереди будут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распечатаны по запросу от принтерного адаптера АПС45. Установки этого параметра не определяют условия вывода отчетов на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компьютер и считывающее устройство.</w:t>
      </w:r>
    </w:p>
    <w:p w:rsidR="00E170E3" w:rsidRDefault="00E170E3" w:rsidP="00E170E3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E170E3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ПМ 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Печать месячных отчетов (1; 0). Включение/выключение автоматической печати месячных отчетов по тепловому вводу. Установ</w:t>
      </w:r>
      <w:r>
        <w:rPr>
          <w:rFonts w:ascii="GOST type A" w:eastAsia="TimesNewRomanPSMT" w:hAnsi="GOST type A" w:cs="TimesNewRomanPSMT"/>
          <w:sz w:val="32"/>
          <w:szCs w:val="32"/>
        </w:rPr>
        <w:t>к</w:t>
      </w:r>
      <w:r w:rsidRPr="00E170E3">
        <w:rPr>
          <w:rFonts w:ascii="GOST type A" w:eastAsia="TimesNewRomanPSMT" w:hAnsi="GOST type A" w:cs="TimesNewRomanPSMT"/>
          <w:sz w:val="32"/>
          <w:szCs w:val="32"/>
        </w:rPr>
        <w:t>и этого параметра задают режим автоматического вывода месячных отчетов на принтер аналогично установкам параметра ПС.</w:t>
      </w:r>
    </w:p>
    <w:p w:rsidR="00E170E3" w:rsidRDefault="00E170E3" w:rsidP="00E170E3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b/>
          <w:sz w:val="32"/>
          <w:szCs w:val="32"/>
        </w:rPr>
      </w:pPr>
      <w:r w:rsidRPr="00E170E3">
        <w:rPr>
          <w:rFonts w:ascii="GOST type A" w:eastAsia="TimesNewRomanPSMT" w:hAnsi="GOST type A" w:cs="TimesNewRomanPSMT"/>
          <w:b/>
          <w:sz w:val="32"/>
          <w:szCs w:val="32"/>
        </w:rPr>
        <w:t xml:space="preserve"> В управлении производим запуск "ПУСК".</w:t>
      </w:r>
    </w:p>
    <w:p w:rsidR="00E170E3" w:rsidRDefault="00E170E3">
      <w:pPr>
        <w:rPr>
          <w:rFonts w:ascii="GOST type A" w:eastAsia="TimesNewRomanPSMT" w:hAnsi="GOST type A" w:cs="TimesNewRomanPSMT"/>
          <w:b/>
          <w:sz w:val="32"/>
          <w:szCs w:val="32"/>
        </w:rPr>
      </w:pPr>
      <w:r>
        <w:rPr>
          <w:rFonts w:ascii="GOST type A" w:eastAsia="TimesNewRomanPSMT" w:hAnsi="GOST type A" w:cs="TimesNewRomanPSMT"/>
          <w:b/>
          <w:sz w:val="32"/>
          <w:szCs w:val="32"/>
        </w:rPr>
        <w:br w:type="page"/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405130</wp:posOffset>
            </wp:positionV>
            <wp:extent cx="4981575" cy="28860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C5D">
        <w:rPr>
          <w:rFonts w:ascii="GOST type A" w:hAnsi="GOST type A" w:cs="ArialMT"/>
          <w:b/>
          <w:sz w:val="32"/>
          <w:szCs w:val="32"/>
        </w:rPr>
        <w:t>Монтаж электрических цепей</w:t>
      </w:r>
      <w:r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E170E3" w:rsidRDefault="00BC2C5D" w:rsidP="00BC2C5D">
      <w:pPr>
        <w:tabs>
          <w:tab w:val="left" w:pos="3690"/>
        </w:tabs>
        <w:jc w:val="center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243840</wp:posOffset>
            </wp:positionV>
            <wp:extent cx="5133975" cy="28956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C5D">
        <w:rPr>
          <w:rFonts w:ascii="GOST type A" w:eastAsia="TimesNewRomanPSMT" w:hAnsi="GOST type A" w:cs="TimesNewRomanPSMT"/>
          <w:sz w:val="32"/>
          <w:szCs w:val="32"/>
        </w:rPr>
        <w:t>Размещение гнезд для подключения внешних цепей</w:t>
      </w:r>
      <w:r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BC2C5D" w:rsidRDefault="00BC2C5D" w:rsidP="00BC2C5D">
      <w:pPr>
        <w:tabs>
          <w:tab w:val="left" w:pos="3690"/>
        </w:tabs>
        <w:jc w:val="center"/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3690"/>
        </w:tabs>
        <w:jc w:val="center"/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3690"/>
        </w:tabs>
        <w:jc w:val="center"/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3690"/>
        </w:tabs>
        <w:jc w:val="center"/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>
      <w:pPr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br w:type="page"/>
      </w:r>
    </w:p>
    <w:p w:rsidR="00BC2C5D" w:rsidRDefault="00BC2C5D" w:rsidP="00BC2C5D">
      <w:pPr>
        <w:jc w:val="center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357505</wp:posOffset>
            </wp:positionV>
            <wp:extent cx="5438775" cy="51244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C5D">
        <w:rPr>
          <w:rFonts w:ascii="GOST type A" w:eastAsia="TimesNewRomanPSMT" w:hAnsi="GOST type A" w:cs="TimesNewRomanPSMT"/>
          <w:b/>
          <w:sz w:val="32"/>
          <w:szCs w:val="32"/>
        </w:rPr>
        <w:t>Подключение вспомогательного оборудования</w:t>
      </w:r>
      <w:r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GOST type A" w:hAnsi="GOST type A" w:cs="ArialMT"/>
          <w:sz w:val="32"/>
          <w:szCs w:val="32"/>
        </w:rPr>
      </w:pPr>
      <w:r w:rsidRPr="00BC2C5D">
        <w:rPr>
          <w:rFonts w:ascii="GOST type A" w:hAnsi="GOST type A" w:cs="ArialMT"/>
          <w:sz w:val="32"/>
          <w:szCs w:val="32"/>
        </w:rPr>
        <w:t>Режим ТСТ-МОДЕМ (ОБЩ-ТСТ-МОДЕМ)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BC2C5D">
        <w:rPr>
          <w:rFonts w:ascii="GOST type A" w:eastAsia="TimesNewRomanPSMT" w:hAnsi="GOST type A" w:cs="TimesNewRomanPSMT"/>
          <w:sz w:val="32"/>
          <w:szCs w:val="32"/>
        </w:rPr>
        <w:t>В этом режиме доступен ряд сервисных функций для работы с телефонными и GSM-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GOST type A" w:eastAsia="TimesNewRomanPSMT" w:hAnsi="GOST type A" w:cs="TimesNewRomanPSMT"/>
          <w:sz w:val="32"/>
          <w:szCs w:val="32"/>
        </w:rPr>
      </w:pPr>
      <w:r w:rsidRPr="00BC2C5D">
        <w:rPr>
          <w:rFonts w:ascii="GOST type A" w:eastAsia="TimesNewRomanPSMT" w:hAnsi="GOST type A" w:cs="TimesNewRomanPSMT"/>
          <w:sz w:val="32"/>
          <w:szCs w:val="32"/>
        </w:rPr>
        <w:t>модемами.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hAnsi="GOST type A" w:cs="ArialMT"/>
          <w:sz w:val="32"/>
          <w:szCs w:val="32"/>
        </w:rPr>
        <w:t>Тест стандартных функций модема</w:t>
      </w:r>
      <w:r>
        <w:rPr>
          <w:rFonts w:ascii="GOST type A" w:hAnsi="GOST type A" w:cs="ArialMT"/>
          <w:sz w:val="32"/>
          <w:szCs w:val="32"/>
        </w:rPr>
        <w:t xml:space="preserve"> </w:t>
      </w:r>
      <w:r w:rsidRPr="00BC2C5D">
        <w:rPr>
          <w:rFonts w:ascii="GOST type A" w:hAnsi="GOST type A" w:cs="ArialMT"/>
          <w:sz w:val="32"/>
          <w:szCs w:val="32"/>
        </w:rPr>
        <w:t>(ОБЩ-ТСТ-МОДЕМ-СТД)</w:t>
      </w:r>
      <w:r>
        <w:rPr>
          <w:rFonts w:ascii="GOST type A" w:hAnsi="GOST type A" w:cs="Arial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Тест позволяет судить о правильности подключения и настройки (инициализации) модема.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Тест работает как с телефонными, так и с GSM-модемами.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Если настройка и подключение модема к прибору выполнены правильно (согласно рекомендациям, опубликованным на сайте </w:t>
      </w:r>
      <w:proofErr w:type="spellStart"/>
      <w:r w:rsidRPr="00BC2C5D">
        <w:rPr>
          <w:rFonts w:ascii="GOST type A" w:eastAsia="TimesNewRomanPSMT" w:hAnsi="GOST type A" w:cs="TimesNewRomanPSMT"/>
          <w:sz w:val="32"/>
          <w:szCs w:val="32"/>
        </w:rPr>
        <w:t>www.logika.spb.ru</w:t>
      </w:r>
      <w:proofErr w:type="spellEnd"/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), результатом выполнения теста должно быть сообщение </w:t>
      </w:r>
      <w:proofErr w:type="spellStart"/>
      <w:r w:rsidRPr="00BC2C5D">
        <w:rPr>
          <w:rFonts w:ascii="GOST type A" w:hAnsi="GOST type A" w:cs="ArialMT"/>
          <w:sz w:val="32"/>
          <w:szCs w:val="32"/>
        </w:rPr>
        <w:t>Rx:ОК</w:t>
      </w:r>
      <w:proofErr w:type="spellEnd"/>
      <w:r w:rsidRPr="00BC2C5D">
        <w:rPr>
          <w:rFonts w:ascii="GOST type A" w:eastAsia="TimesNewRomanPSMT" w:hAnsi="GOST type A" w:cs="TimesNewRomanPSMT"/>
          <w:sz w:val="32"/>
          <w:szCs w:val="32"/>
        </w:rPr>
        <w:t>, выводимое на табло прибора (рис.5.6). Число "2" в первой строке соответствует количеству звонков до автоответа и приведено для примера.</w:t>
      </w: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87630</wp:posOffset>
            </wp:positionV>
            <wp:extent cx="2314575" cy="5715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При возникновении ошибок или при отсутствии ответов модема на табло будет выведено сообщение </w:t>
      </w:r>
      <w:proofErr w:type="spellStart"/>
      <w:r w:rsidRPr="00BC2C5D">
        <w:rPr>
          <w:rFonts w:ascii="GOST type A" w:eastAsia="TimesNewRomanPSMT" w:hAnsi="GOST type A" w:cs="ArialMT"/>
          <w:sz w:val="32"/>
          <w:szCs w:val="32"/>
        </w:rPr>
        <w:t>Rx:Ошибка</w:t>
      </w:r>
      <w:proofErr w:type="spellEnd"/>
      <w:r w:rsidRPr="00BC2C5D">
        <w:rPr>
          <w:rFonts w:ascii="GOST type A" w:eastAsia="TimesNewRomanPSMT" w:hAnsi="GOST type A" w:cs="Arial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или </w:t>
      </w:r>
      <w:proofErr w:type="spellStart"/>
      <w:r w:rsidRPr="00BC2C5D">
        <w:rPr>
          <w:rFonts w:ascii="GOST type A" w:eastAsia="TimesNewRomanPSMT" w:hAnsi="GOST type A" w:cs="ArialMT"/>
          <w:sz w:val="32"/>
          <w:szCs w:val="32"/>
        </w:rPr>
        <w:t>Rx:Нет</w:t>
      </w:r>
      <w:proofErr w:type="spellEnd"/>
      <w:r w:rsidRPr="00BC2C5D">
        <w:rPr>
          <w:rFonts w:ascii="GOST type A" w:eastAsia="TimesNewRomanPSMT" w:hAnsi="GOST type A" w:cs="ArialMT"/>
          <w:sz w:val="32"/>
          <w:szCs w:val="32"/>
        </w:rPr>
        <w:t xml:space="preserve"> ответа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.</w:t>
      </w:r>
    </w:p>
    <w:p w:rsidR="00BC2C5D" w:rsidRP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</w:p>
    <w:p w:rsidR="00BC2C5D" w:rsidRDefault="00BC2C5D">
      <w:pPr>
        <w:rPr>
          <w:rFonts w:ascii="GOST type A" w:eastAsia="TimesNewRomanPSMT" w:hAnsi="GOST type A" w:cs="TimesNewRomanPSMT"/>
          <w:b/>
          <w:sz w:val="32"/>
          <w:szCs w:val="32"/>
        </w:rPr>
      </w:pPr>
      <w:r>
        <w:rPr>
          <w:rFonts w:ascii="GOST type A" w:eastAsia="TimesNewRomanPSMT" w:hAnsi="GOST type A" w:cs="TimesNewRomanPSMT"/>
          <w:b/>
          <w:sz w:val="32"/>
          <w:szCs w:val="32"/>
        </w:rPr>
        <w:br w:type="page"/>
      </w:r>
    </w:p>
    <w:p w:rsidR="00BC2C5D" w:rsidRPr="00BC2C5D" w:rsidRDefault="00BC2C5D" w:rsidP="00BC2C5D">
      <w:pPr>
        <w:tabs>
          <w:tab w:val="left" w:pos="1140"/>
        </w:tabs>
        <w:jc w:val="center"/>
        <w:rPr>
          <w:rFonts w:ascii="GOST type A" w:eastAsia="TimesNewRomanPSMT" w:hAnsi="GOST type A" w:cs="TimesNewRomanPSMT"/>
          <w:b/>
          <w:sz w:val="32"/>
          <w:szCs w:val="32"/>
        </w:rPr>
      </w:pPr>
      <w:r w:rsidRPr="00BC2C5D">
        <w:rPr>
          <w:rFonts w:ascii="GOST type A" w:eastAsia="TimesNewRomanPSMT" w:hAnsi="GOST type A" w:cs="TimesNewRomanPSMT"/>
          <w:b/>
          <w:sz w:val="32"/>
          <w:szCs w:val="32"/>
        </w:rPr>
        <w:lastRenderedPageBreak/>
        <w:t>Нештатные ситуации.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BC2C5D">
        <w:rPr>
          <w:rFonts w:ascii="GOST type A" w:eastAsia="TimesNewRomanPSMT" w:hAnsi="GOST type A" w:cs="TimesNewRomanPSMT"/>
          <w:sz w:val="32"/>
          <w:szCs w:val="32"/>
        </w:rPr>
        <w:t>В течение всего времени, пока имеет место хотя бы одна нештатная ситуация, выходной сигнал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НС удерживается в активном состоянии (при </w:t>
      </w:r>
      <w:r w:rsidRPr="00BC2C5D">
        <w:rPr>
          <w:rFonts w:ascii="GOST type A" w:eastAsia="TimesNewRomanPSMT" w:hAnsi="GOST type A" w:cs="TimesNewRomanPSMT"/>
          <w:b/>
          <w:sz w:val="32"/>
          <w:szCs w:val="32"/>
        </w:rPr>
        <w:t>КД=1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), а на табло это сопровождается характерным миганием курсора. Кроме того, справа от обозначения раздела в главном меню появляется символ апострофа. Нештатные ситуации, НС00…НС04 отображаются одновременно во всех разделах главного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меню, связанные с измеряемыми параметрами, – только в том разделе, где они возникли.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Ниже приведен полный список нештатных ситуаций. Для их устранения, возможно, требуется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вмешательство обслуживающего персонала.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НС00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Разряд батареи (</w:t>
      </w:r>
      <w:proofErr w:type="spellStart"/>
      <w:r w:rsidRPr="00BC2C5D">
        <w:rPr>
          <w:rFonts w:ascii="GOST type A" w:eastAsia="TimesNewRomanPSMT" w:hAnsi="GOST type A" w:cs="TimesNewRomanPSMT"/>
          <w:sz w:val="32"/>
          <w:szCs w:val="32"/>
        </w:rPr>
        <w:t>Uб</w:t>
      </w:r>
      <w:proofErr w:type="spellEnd"/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 &lt; 3,2 В). Следует в течение месяца заменить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батарею.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НC01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Перегрузка по цепям питания датчиков объема. Суммарный ток,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потребляемый датчиками превышает 100 мА.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НС02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Изменение сигнала на дискретном входе.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НС03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Параметр </w:t>
      </w:r>
      <w:proofErr w:type="spellStart"/>
      <w:r w:rsidRPr="00BC2C5D">
        <w:rPr>
          <w:rFonts w:ascii="GOST type A" w:eastAsia="TimesNewRomanPSMT" w:hAnsi="GOST type A" w:cs="TimesNewRomanPSMT"/>
          <w:sz w:val="32"/>
          <w:szCs w:val="32"/>
        </w:rPr>
        <w:t>tхв</w:t>
      </w:r>
      <w:proofErr w:type="spellEnd"/>
      <w:r w:rsidRPr="00BC2C5D">
        <w:rPr>
          <w:rFonts w:ascii="GOST type A" w:eastAsia="TimesNewRomanPSMT" w:hAnsi="GOST type A" w:cs="TimesNewRomanPSMT"/>
          <w:sz w:val="32"/>
          <w:szCs w:val="32"/>
        </w:rPr>
        <w:t xml:space="preserve"> вне диапазона 0-176 C.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НС04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Выход контролируемого параметра за границы диапазона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УН…УВ. Это единственная НС, на возникновение которой можно назначить монопольное срабатывание выхода сигнализации.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НС08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 P1 по вводу вне диапазона 0-1,1ВП1.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НС09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 P2 по вводу вне диапазона 0-1,1</w:t>
      </w:r>
      <w:r>
        <w:rPr>
          <w:rFonts w:ascii="GOST type A" w:eastAsia="Arial Unicode MS" w:hAnsi="GOST type A" w:cs="Arial Unicode MS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ВП2.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НС10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 t1 по вводу вне диапазона 0-176 C.</w:t>
      </w:r>
    </w:p>
    <w:p w:rsidR="00BC2C5D" w:rsidRDefault="00BC2C5D" w:rsidP="00BC2C5D">
      <w:pPr>
        <w:tabs>
          <w:tab w:val="left" w:pos="1140"/>
        </w:tabs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        </w:t>
      </w:r>
      <w:r w:rsidRPr="00BC2C5D">
        <w:rPr>
          <w:rFonts w:ascii="GOST type A" w:eastAsia="TimesNewRomanPSMT" w:hAnsi="GOST type A" w:cs="Arial-BoldMT"/>
          <w:b/>
          <w:bCs/>
          <w:sz w:val="32"/>
          <w:szCs w:val="32"/>
        </w:rPr>
        <w:t xml:space="preserve">НС11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 t2 по вводу вне диапазона 0-176 C.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НС12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 t3 по вводу вне диапазона 0-176 C.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НС13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Расход через ВС1 выше верхнего предела диапазона измерений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(G1&gt;Gв1).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НС14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Ненулевой расход через ВС1 ниже нижнего предела диапазона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измерений (0&lt;G1&lt;Gн1).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НС15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Расход через ВС2 выше верхнего предела диапазона измерений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(G2&gt;Gв2).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>НС16</w:t>
      </w:r>
      <w:r>
        <w:rPr>
          <w:rFonts w:ascii="GOST type A" w:hAnsi="GOST type A" w:cs="Arial-BoldMT"/>
          <w:b/>
          <w:bCs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Ненулевой расход через ВС2 ниже нижнего предела диапазона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(0&lt;G2&lt;Gн2).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НС17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Расход через ВС3 выше верхнего предела диапазона измерений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(G3&gt;Gв3).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НС18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Ненулевой расход через ВС3 ниже нижнего предела диапазона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(0&lt;G3&lt;Gн3).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НС19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Диагностика отрицательного значения разности часовых масс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теплоносителя (М1ч–М2ч), выходящего за допустимые пределы,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т.е. при (М1ч–М2ч)&lt;(–НМ)</w:t>
      </w:r>
      <w:r w:rsidRPr="00BC2C5D">
        <w:rPr>
          <w:rFonts w:ascii="GOST type A" w:eastAsia="Arial Unicode MS" w:hAnsi="GOST type A" w:cs="Arial Unicode MS"/>
          <w:sz w:val="32"/>
          <w:szCs w:val="32"/>
        </w:rPr>
        <w:t>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М1ч. Нештатная ситуация фиксируется по окончании часа и заносится в архив для схем 0, 2, 4 и 8.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 w:rsidRPr="00BC2C5D">
        <w:rPr>
          <w:rFonts w:ascii="GOST type A" w:eastAsia="TimesNewRomanPSMT" w:hAnsi="GOST type A" w:cs="TimesNewRomanPSMT"/>
          <w:sz w:val="32"/>
          <w:szCs w:val="32"/>
        </w:rPr>
        <w:t>Весь следующий час она активна в текущих параметрах.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НС20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Отрицательное значение часового количества тепловой энергии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(</w:t>
      </w:r>
      <w:proofErr w:type="spellStart"/>
      <w:r w:rsidRPr="00BC2C5D">
        <w:rPr>
          <w:rFonts w:ascii="GOST type A" w:eastAsia="TimesNewRomanPSMT" w:hAnsi="GOST type A" w:cs="TimesNewRomanPSMT"/>
          <w:sz w:val="32"/>
          <w:szCs w:val="32"/>
        </w:rPr>
        <w:t>Qч</w:t>
      </w:r>
      <w:proofErr w:type="spellEnd"/>
      <w:r w:rsidRPr="00BC2C5D">
        <w:rPr>
          <w:rFonts w:ascii="GOST type A" w:eastAsia="TimesNewRomanPSMT" w:hAnsi="GOST type A" w:cs="TimesNewRomanPSMT"/>
          <w:sz w:val="32"/>
          <w:szCs w:val="32"/>
        </w:rPr>
        <w:t>&lt;0). Нештатная ситуация фиксируется по окончании часа и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заносится в архив. Весь следующий час она активна в текущих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параметрах.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hAnsi="GOST type A" w:cs="Arial-BoldMT"/>
          <w:b/>
          <w:bCs/>
          <w:sz w:val="32"/>
          <w:szCs w:val="32"/>
        </w:rPr>
        <w:tab/>
      </w:r>
      <w:r w:rsidRPr="00BC2C5D">
        <w:rPr>
          <w:rFonts w:ascii="GOST type A" w:hAnsi="GOST type A" w:cs="Arial-BoldMT"/>
          <w:b/>
          <w:bCs/>
          <w:sz w:val="32"/>
          <w:szCs w:val="32"/>
        </w:rPr>
        <w:t xml:space="preserve">НС21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Значение разности часовых масс (М1ч–М2ч) меньше нуля. Нештатная ситуация фиксируется по окончании часа и заносится в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архив для схем 0, 2, 4 или 8 и АМ=1 или 2. Весь следующий час</w:t>
      </w:r>
      <w:r>
        <w:rPr>
          <w:rFonts w:ascii="GOST type A" w:eastAsia="TimesNewRomanPSMT" w:hAnsi="GOST type A" w:cs="TimesNewRomanPSMT"/>
          <w:sz w:val="32"/>
          <w:szCs w:val="32"/>
        </w:rPr>
        <w:t xml:space="preserve"> </w:t>
      </w:r>
      <w:r w:rsidRPr="00BC2C5D">
        <w:rPr>
          <w:rFonts w:ascii="GOST type A" w:eastAsia="TimesNewRomanPSMT" w:hAnsi="GOST type A" w:cs="TimesNewRomanPSMT"/>
          <w:sz w:val="32"/>
          <w:szCs w:val="32"/>
        </w:rPr>
        <w:t>она активна в текущих параметрах.</w:t>
      </w: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</w:p>
    <w:p w:rsidR="00547E6E" w:rsidRDefault="00547E6E" w:rsidP="00547E6E">
      <w:pPr>
        <w:rPr>
          <w:rFonts w:ascii="GOST type A" w:hAnsi="GOST type A"/>
          <w:sz w:val="32"/>
          <w:szCs w:val="32"/>
        </w:rPr>
      </w:pPr>
    </w:p>
    <w:p w:rsidR="00547E6E" w:rsidRDefault="00547E6E" w:rsidP="00547E6E">
      <w:pPr>
        <w:rPr>
          <w:rFonts w:ascii="GOST type A" w:hAnsi="GOST type A"/>
          <w:sz w:val="32"/>
          <w:szCs w:val="32"/>
        </w:rPr>
      </w:pPr>
    </w:p>
    <w:p w:rsidR="00547E6E" w:rsidRDefault="00547E6E" w:rsidP="00547E6E">
      <w:pPr>
        <w:rPr>
          <w:rFonts w:ascii="GOST type A" w:hAnsi="GOST type A"/>
          <w:sz w:val="32"/>
          <w:szCs w:val="32"/>
        </w:rPr>
      </w:pPr>
    </w:p>
    <w:p w:rsidR="00547E6E" w:rsidRDefault="00547E6E" w:rsidP="00547E6E">
      <w:r>
        <w:rPr>
          <w:rFonts w:ascii="GOST type A" w:hAnsi="GOST type A"/>
          <w:sz w:val="32"/>
          <w:szCs w:val="32"/>
        </w:rPr>
        <w:t>Схемы потребления параметр (СП):</w:t>
      </w:r>
    </w:p>
    <w:p w:rsidR="00547E6E" w:rsidRDefault="00547E6E" w:rsidP="00547E6E"/>
    <w:p w:rsidR="00547E6E" w:rsidRDefault="00547E6E" w:rsidP="00547E6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147955</wp:posOffset>
            </wp:positionV>
            <wp:extent cx="5248275" cy="4953000"/>
            <wp:effectExtent l="19050" t="0" r="952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/>
    <w:p w:rsidR="00547E6E" w:rsidRDefault="00547E6E" w:rsidP="00547E6E">
      <w:r>
        <w:br w:type="page"/>
      </w:r>
    </w:p>
    <w:p w:rsidR="00547E6E" w:rsidRDefault="00547E6E" w:rsidP="00547E6E">
      <w:pPr>
        <w:jc w:val="center"/>
      </w:pPr>
    </w:p>
    <w:p w:rsidR="00547E6E" w:rsidRPr="00BC2C5D" w:rsidRDefault="00547E6E" w:rsidP="00BC2C5D">
      <w:pPr>
        <w:autoSpaceDE w:val="0"/>
        <w:autoSpaceDN w:val="0"/>
        <w:adjustRightInd w:val="0"/>
        <w:spacing w:after="0" w:line="240" w:lineRule="auto"/>
        <w:rPr>
          <w:rFonts w:ascii="GOST type A" w:eastAsia="TimesNewRomanPSMT" w:hAnsi="GOST type A" w:cs="TimesNewRomanPSMT"/>
          <w:sz w:val="32"/>
          <w:szCs w:val="32"/>
        </w:rPr>
      </w:pPr>
      <w:r>
        <w:rPr>
          <w:rFonts w:ascii="GOST type A" w:eastAsia="TimesNewRomanPSMT" w:hAnsi="GOST type A" w:cs="TimesNewRomanPSMT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5396865</wp:posOffset>
            </wp:positionV>
            <wp:extent cx="5133975" cy="2266950"/>
            <wp:effectExtent l="1905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OST type A" w:eastAsia="TimesNewRomanPSMT" w:hAnsi="GOST type A" w:cs="TimesNewRomanPSMT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110490</wp:posOffset>
            </wp:positionV>
            <wp:extent cx="5286375" cy="5362575"/>
            <wp:effectExtent l="19050" t="0" r="952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6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7E6E" w:rsidRPr="00BC2C5D" w:rsidSect="00E974AB">
      <w:pgSz w:w="11906" w:h="16838"/>
      <w:pgMar w:top="142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1989"/>
    <w:rsid w:val="00251989"/>
    <w:rsid w:val="00547E6E"/>
    <w:rsid w:val="00BC2C5D"/>
    <w:rsid w:val="00E170E3"/>
    <w:rsid w:val="00E81099"/>
    <w:rsid w:val="00E9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</cp:revision>
  <dcterms:created xsi:type="dcterms:W3CDTF">2014-07-27T12:30:00Z</dcterms:created>
  <dcterms:modified xsi:type="dcterms:W3CDTF">2017-09-14T14:57:00Z</dcterms:modified>
</cp:coreProperties>
</file>